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9F" w:rsidRPr="0041619F" w:rsidRDefault="0041619F" w:rsidP="0041619F">
      <w:pPr>
        <w:spacing w:before="600" w:after="360"/>
        <w:rPr>
          <w:rFonts w:ascii="Arial" w:eastAsia="Times New Roman" w:hAnsi="Arial" w:cs="Arial"/>
          <w:b/>
          <w:bCs/>
          <w:i/>
          <w:iCs/>
          <w:noProof/>
          <w:lang w:val="bg-BG"/>
        </w:rPr>
      </w:pPr>
      <w:r w:rsidRPr="0041619F">
        <w:rPr>
          <w:rFonts w:ascii="Arial" w:eastAsia="Times New Roman" w:hAnsi="Arial" w:cs="Arial"/>
          <w:b/>
          <w:bCs/>
          <w:i/>
          <w:iCs/>
          <w:noProof/>
          <w:lang w:val="bg-BG"/>
        </w:rPr>
        <w:t>ТЕХНИЧЕСКА СПЕЦИФИКАЦИЯ</w:t>
      </w:r>
    </w:p>
    <w:p w:rsidR="002C6F12" w:rsidRPr="002C6F12" w:rsidRDefault="002C6F12" w:rsidP="0041619F">
      <w:pPr>
        <w:spacing w:before="600"/>
        <w:jc w:val="both"/>
        <w:rPr>
          <w:rFonts w:ascii="Arial" w:eastAsia="Times New Roman" w:hAnsi="Arial" w:cs="Arial"/>
          <w:bCs/>
          <w:iCs/>
          <w:noProof/>
          <w:lang w:val="bg-BG"/>
        </w:rPr>
      </w:pPr>
      <w:r w:rsidRPr="002C6F12">
        <w:rPr>
          <w:rFonts w:ascii="Arial" w:eastAsia="Times New Roman" w:hAnsi="Arial" w:cs="Arial"/>
          <w:b/>
          <w:bCs/>
          <w:iCs/>
          <w:noProof/>
          <w:lang w:val="bg-BG"/>
        </w:rPr>
        <w:t>1.</w:t>
      </w:r>
      <w:r>
        <w:rPr>
          <w:rFonts w:ascii="Arial" w:eastAsia="Times New Roman" w:hAnsi="Arial" w:cs="Arial"/>
          <w:bCs/>
          <w:iCs/>
          <w:noProof/>
          <w:lang w:val="bg-BG"/>
        </w:rPr>
        <w:t xml:space="preserve"> </w:t>
      </w:r>
      <w:r w:rsidRPr="002C6F12">
        <w:rPr>
          <w:rFonts w:ascii="Arial" w:eastAsia="Times New Roman" w:hAnsi="Arial" w:cs="Arial"/>
          <w:bCs/>
          <w:iCs/>
          <w:noProof/>
          <w:lang w:val="bg-BG"/>
        </w:rPr>
        <w:t>Доставката на радиофармацевтичен препарат 18</w:t>
      </w:r>
      <w:r w:rsidRPr="002C6F12">
        <w:rPr>
          <w:rFonts w:ascii="Arial" w:eastAsia="Times New Roman" w:hAnsi="Arial" w:cs="Arial"/>
          <w:bCs/>
          <w:iCs/>
          <w:noProof/>
        </w:rPr>
        <w:t>F-FDG</w:t>
      </w:r>
      <w:r>
        <w:rPr>
          <w:rFonts w:ascii="Arial" w:eastAsia="Times New Roman" w:hAnsi="Arial" w:cs="Arial"/>
          <w:bCs/>
          <w:iCs/>
          <w:noProof/>
          <w:lang w:val="bg-BG"/>
        </w:rPr>
        <w:t xml:space="preserve"> ще се извършва, след направена седмична заявка, изпратена минимум 5 (пет) дни преди доставката.</w:t>
      </w:r>
    </w:p>
    <w:p w:rsidR="0041619F" w:rsidRPr="0041619F" w:rsidRDefault="002C6F12" w:rsidP="002C6F12">
      <w:pPr>
        <w:spacing w:before="240"/>
        <w:jc w:val="both"/>
        <w:rPr>
          <w:rFonts w:ascii="Arial" w:eastAsia="Times New Roman" w:hAnsi="Arial" w:cs="Arial"/>
          <w:bCs/>
          <w:iCs/>
          <w:noProof/>
          <w:lang w:val="bg-BG"/>
        </w:rPr>
      </w:pPr>
      <w:r>
        <w:rPr>
          <w:rFonts w:ascii="Arial" w:eastAsia="Times New Roman" w:hAnsi="Arial" w:cs="Arial"/>
          <w:b/>
          <w:bCs/>
          <w:iCs/>
          <w:noProof/>
          <w:lang w:val="bg-BG"/>
        </w:rPr>
        <w:t>2</w:t>
      </w:r>
      <w:r w:rsidR="0041619F" w:rsidRPr="0041619F">
        <w:rPr>
          <w:rFonts w:ascii="Arial" w:eastAsia="Times New Roman" w:hAnsi="Arial" w:cs="Arial"/>
          <w:b/>
          <w:bCs/>
          <w:iCs/>
          <w:noProof/>
          <w:lang w:val="bg-BG"/>
        </w:rPr>
        <w:t>.</w:t>
      </w:r>
      <w:r w:rsidR="0041619F" w:rsidRPr="0041619F">
        <w:rPr>
          <w:rFonts w:ascii="Arial" w:eastAsia="Times New Roman" w:hAnsi="Arial" w:cs="Arial"/>
          <w:bCs/>
          <w:iCs/>
          <w:noProof/>
          <w:lang w:val="bg-BG"/>
        </w:rPr>
        <w:t xml:space="preserve"> Активността на радиофармацевтичен препарат 18</w:t>
      </w:r>
      <w:r w:rsidR="0041619F" w:rsidRPr="0041619F">
        <w:rPr>
          <w:rFonts w:ascii="Arial" w:eastAsia="Times New Roman" w:hAnsi="Arial" w:cs="Arial"/>
          <w:bCs/>
          <w:iCs/>
          <w:noProof/>
        </w:rPr>
        <w:t>F-FDG</w:t>
      </w:r>
      <w:r w:rsidR="0041619F" w:rsidRPr="0041619F">
        <w:rPr>
          <w:rFonts w:ascii="Arial" w:eastAsia="Times New Roman" w:hAnsi="Arial" w:cs="Arial"/>
          <w:bCs/>
          <w:iCs/>
          <w:noProof/>
          <w:lang w:val="bg-BG"/>
        </w:rPr>
        <w:t xml:space="preserve"> да се доставя до входа на „ПЕТ/КТ сектора“ на Клиниката по Нуклеарна медицина на „УСБАЛО“ ЕАД София.</w:t>
      </w:r>
    </w:p>
    <w:p w:rsidR="0041619F" w:rsidRPr="0041619F" w:rsidRDefault="002C6F12" w:rsidP="002C6F12">
      <w:pPr>
        <w:spacing w:before="240" w:after="240"/>
        <w:jc w:val="both"/>
        <w:rPr>
          <w:rFonts w:ascii="Arial" w:eastAsia="Times New Roman" w:hAnsi="Arial" w:cs="Arial"/>
          <w:bCs/>
          <w:iCs/>
          <w:noProof/>
          <w:lang w:val="bg-BG"/>
        </w:rPr>
      </w:pPr>
      <w:r>
        <w:rPr>
          <w:rFonts w:ascii="Arial" w:eastAsia="Times New Roman" w:hAnsi="Arial" w:cs="Arial"/>
          <w:b/>
          <w:bCs/>
          <w:iCs/>
          <w:noProof/>
          <w:lang w:val="bg-BG"/>
        </w:rPr>
        <w:t>3</w:t>
      </w:r>
      <w:r w:rsidR="0041619F" w:rsidRPr="0041619F">
        <w:rPr>
          <w:rFonts w:ascii="Arial" w:eastAsia="Times New Roman" w:hAnsi="Arial" w:cs="Arial"/>
          <w:b/>
          <w:bCs/>
          <w:iCs/>
          <w:noProof/>
          <w:lang w:val="bg-BG"/>
        </w:rPr>
        <w:t>.</w:t>
      </w:r>
      <w:r w:rsidR="0041619F" w:rsidRPr="0041619F">
        <w:rPr>
          <w:rFonts w:ascii="Arial" w:eastAsia="Times New Roman" w:hAnsi="Arial" w:cs="Arial"/>
          <w:bCs/>
          <w:iCs/>
          <w:noProof/>
          <w:lang w:val="bg-BG"/>
        </w:rPr>
        <w:t xml:space="preserve"> Активността на радиофармацевтичен препарат 18</w:t>
      </w:r>
      <w:r w:rsidR="0041619F" w:rsidRPr="0041619F">
        <w:rPr>
          <w:rFonts w:ascii="Arial" w:eastAsia="Times New Roman" w:hAnsi="Arial" w:cs="Arial"/>
          <w:bCs/>
          <w:iCs/>
          <w:noProof/>
        </w:rPr>
        <w:t>F-FDG</w:t>
      </w:r>
      <w:r w:rsidR="0041619F" w:rsidRPr="0041619F">
        <w:rPr>
          <w:rFonts w:ascii="Arial" w:eastAsia="Times New Roman" w:hAnsi="Arial" w:cs="Arial"/>
          <w:bCs/>
          <w:iCs/>
          <w:noProof/>
          <w:lang w:val="bg-BG"/>
        </w:rPr>
        <w:t>, според заявената за деня по дати, да е както следва:</w:t>
      </w:r>
    </w:p>
    <w:tbl>
      <w:tblPr>
        <w:tblW w:w="9118" w:type="dxa"/>
        <w:tblInd w:w="175" w:type="dxa"/>
        <w:tblLook w:val="04A0" w:firstRow="1" w:lastRow="0" w:firstColumn="1" w:lastColumn="0" w:noHBand="0" w:noVBand="1"/>
      </w:tblPr>
      <w:tblGrid>
        <w:gridCol w:w="1120"/>
        <w:gridCol w:w="2500"/>
        <w:gridCol w:w="1448"/>
        <w:gridCol w:w="2540"/>
        <w:gridCol w:w="1510"/>
      </w:tblGrid>
      <w:tr w:rsidR="0041619F" w:rsidRPr="0041619F" w:rsidTr="009D704A">
        <w:trPr>
          <w:trHeight w:val="1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F" w:rsidRPr="0041619F" w:rsidRDefault="0041619F" w:rsidP="0041619F">
            <w:pPr>
              <w:rPr>
                <w:rFonts w:ascii="Arial" w:eastAsia="Times New Roman" w:hAnsi="Arial" w:cs="Arial"/>
                <w:b/>
                <w:bCs/>
                <w:noProof/>
                <w:lang w:val="bg-BG"/>
              </w:rPr>
            </w:pPr>
            <w:r w:rsidRPr="0041619F">
              <w:rPr>
                <w:rFonts w:ascii="Arial" w:eastAsia="Times New Roman" w:hAnsi="Arial" w:cs="Arial"/>
                <w:b/>
                <w:bCs/>
                <w:noProof/>
                <w:lang w:val="bg-BG"/>
              </w:rPr>
              <w:t>АТС код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9F" w:rsidRPr="0041619F" w:rsidRDefault="0041619F" w:rsidP="0041619F">
            <w:pPr>
              <w:rPr>
                <w:rFonts w:ascii="Arial" w:eastAsia="Times New Roman" w:hAnsi="Arial" w:cs="Arial"/>
                <w:b/>
                <w:bCs/>
                <w:noProof/>
                <w:lang w:val="bg-BG"/>
              </w:rPr>
            </w:pPr>
            <w:r w:rsidRPr="0041619F">
              <w:rPr>
                <w:rFonts w:ascii="Arial" w:eastAsia="Times New Roman" w:hAnsi="Arial" w:cs="Arial"/>
                <w:b/>
                <w:bCs/>
                <w:noProof/>
                <w:lang w:val="bg-BG"/>
              </w:rPr>
              <w:t>Международно непатентно наименование (INN)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9F" w:rsidRPr="0041619F" w:rsidRDefault="0041619F" w:rsidP="0041619F">
            <w:pPr>
              <w:rPr>
                <w:rFonts w:ascii="Arial" w:eastAsia="Times New Roman" w:hAnsi="Arial" w:cs="Arial"/>
                <w:b/>
                <w:bCs/>
                <w:noProof/>
                <w:lang w:val="bg-BG"/>
              </w:rPr>
            </w:pPr>
            <w:r w:rsidRPr="0041619F">
              <w:rPr>
                <w:rFonts w:ascii="Arial" w:eastAsia="Times New Roman" w:hAnsi="Arial" w:cs="Arial"/>
                <w:b/>
                <w:bCs/>
                <w:noProof/>
                <w:lang w:val="bg-BG"/>
              </w:rPr>
              <w:t>Активност на опаковката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F" w:rsidRPr="0041619F" w:rsidRDefault="0041619F" w:rsidP="0041619F">
            <w:pPr>
              <w:rPr>
                <w:rFonts w:ascii="Arial" w:eastAsia="Times New Roman" w:hAnsi="Arial" w:cs="Arial"/>
                <w:b/>
                <w:bCs/>
                <w:noProof/>
                <w:lang w:val="bg-BG"/>
              </w:rPr>
            </w:pPr>
            <w:r w:rsidRPr="0041619F">
              <w:rPr>
                <w:rFonts w:ascii="Arial" w:eastAsia="Times New Roman" w:hAnsi="Arial" w:cs="Arial"/>
                <w:b/>
                <w:bCs/>
                <w:noProof/>
                <w:lang w:val="bg-BG"/>
              </w:rPr>
              <w:t>Мярка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9F" w:rsidRPr="0041619F" w:rsidRDefault="009D704A" w:rsidP="0041619F">
            <w:pPr>
              <w:rPr>
                <w:rFonts w:ascii="Arial" w:eastAsia="Times New Roman" w:hAnsi="Arial" w:cs="Arial"/>
                <w:b/>
                <w:bCs/>
                <w:noProof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val="bg-BG"/>
              </w:rPr>
              <w:t>Общо к</w:t>
            </w:r>
            <w:r w:rsidR="0041619F" w:rsidRPr="0041619F">
              <w:rPr>
                <w:rFonts w:ascii="Arial" w:eastAsia="Times New Roman" w:hAnsi="Arial" w:cs="Arial"/>
                <w:b/>
                <w:bCs/>
                <w:noProof/>
                <w:lang w:val="bg-BG"/>
              </w:rPr>
              <w:t>оличество доставки за 12 месеца</w:t>
            </w:r>
          </w:p>
        </w:tc>
      </w:tr>
      <w:tr w:rsidR="0041619F" w:rsidRPr="0041619F" w:rsidTr="00FD3BE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F" w:rsidRPr="0041619F" w:rsidRDefault="0041619F" w:rsidP="0041619F">
            <w:pPr>
              <w:rPr>
                <w:rFonts w:ascii="Arial" w:eastAsia="Times New Roman" w:hAnsi="Arial" w:cs="Arial"/>
                <w:noProof/>
                <w:lang w:val="bg-BG"/>
              </w:rPr>
            </w:pPr>
            <w:r w:rsidRPr="0041619F">
              <w:rPr>
                <w:rFonts w:ascii="Arial" w:eastAsia="Times New Roman" w:hAnsi="Arial" w:cs="Arial"/>
                <w:noProof/>
                <w:lang w:val="bg-BG"/>
              </w:rPr>
              <w:t>V09IX04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F" w:rsidRPr="0041619F" w:rsidRDefault="0041619F" w:rsidP="0041619F">
            <w:pPr>
              <w:rPr>
                <w:rFonts w:ascii="Arial" w:eastAsia="Times New Roman" w:hAnsi="Arial" w:cs="Arial"/>
                <w:noProof/>
                <w:lang w:val="bg-BG"/>
              </w:rPr>
            </w:pPr>
            <w:r w:rsidRPr="0041619F">
              <w:rPr>
                <w:rFonts w:ascii="Arial" w:eastAsia="Times New Roman" w:hAnsi="Arial" w:cs="Arial"/>
                <w:noProof/>
                <w:lang w:val="bg-BG"/>
              </w:rPr>
              <w:t>Fludeoxyglucose (18F)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F" w:rsidRPr="0041619F" w:rsidRDefault="0041619F" w:rsidP="0041619F">
            <w:pPr>
              <w:rPr>
                <w:rFonts w:ascii="Arial" w:eastAsia="Times New Roman" w:hAnsi="Arial" w:cs="Arial"/>
                <w:noProof/>
                <w:lang w:val="bg-BG"/>
              </w:rPr>
            </w:pPr>
            <w:r w:rsidRPr="0041619F">
              <w:rPr>
                <w:rFonts w:ascii="Arial" w:eastAsia="Times New Roman" w:hAnsi="Arial" w:cs="Arial"/>
                <w:noProof/>
                <w:lang w:val="bg-BG"/>
              </w:rPr>
              <w:t>5.0 GBq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F" w:rsidRPr="0041619F" w:rsidRDefault="0041619F" w:rsidP="0041619F">
            <w:pPr>
              <w:rPr>
                <w:rFonts w:ascii="Arial" w:eastAsia="Times New Roman" w:hAnsi="Arial" w:cs="Arial"/>
                <w:noProof/>
                <w:lang w:val="bg-BG"/>
              </w:rPr>
            </w:pPr>
            <w:r w:rsidRPr="0041619F">
              <w:rPr>
                <w:rFonts w:ascii="Arial" w:eastAsia="Times New Roman" w:hAnsi="Arial" w:cs="Arial"/>
                <w:noProof/>
                <w:lang w:val="bg-BG"/>
              </w:rPr>
              <w:t>многодозова опаковка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F" w:rsidRPr="0041619F" w:rsidRDefault="00871553" w:rsidP="0041619F">
            <w:pPr>
              <w:rPr>
                <w:rFonts w:ascii="Arial" w:eastAsia="Times New Roman" w:hAnsi="Arial" w:cs="Arial"/>
                <w:noProof/>
                <w:lang w:val="bg-BG"/>
              </w:rPr>
            </w:pPr>
            <w:r>
              <w:rPr>
                <w:rFonts w:ascii="Arial" w:eastAsia="Times New Roman" w:hAnsi="Arial" w:cs="Arial"/>
                <w:noProof/>
                <w:lang w:val="bg-BG"/>
              </w:rPr>
              <w:t>144</w:t>
            </w:r>
          </w:p>
        </w:tc>
      </w:tr>
      <w:tr w:rsidR="0041619F" w:rsidRPr="0041619F" w:rsidTr="00FD3BE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9F" w:rsidRPr="0041619F" w:rsidRDefault="0041619F" w:rsidP="0041619F">
            <w:pPr>
              <w:rPr>
                <w:rFonts w:ascii="Arial" w:eastAsia="Times New Roman" w:hAnsi="Arial" w:cs="Arial"/>
                <w:noProof/>
                <w:lang w:val="bg-BG"/>
              </w:rPr>
            </w:pPr>
            <w:r w:rsidRPr="0041619F">
              <w:rPr>
                <w:rFonts w:ascii="Arial" w:eastAsia="Times New Roman" w:hAnsi="Arial" w:cs="Arial"/>
                <w:noProof/>
                <w:lang w:val="bg-BG"/>
              </w:rPr>
              <w:t>V09IX04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9F" w:rsidRPr="0041619F" w:rsidRDefault="0041619F" w:rsidP="0041619F">
            <w:pPr>
              <w:rPr>
                <w:rFonts w:ascii="Arial" w:eastAsia="Times New Roman" w:hAnsi="Arial" w:cs="Arial"/>
                <w:noProof/>
                <w:lang w:val="bg-BG"/>
              </w:rPr>
            </w:pPr>
            <w:r w:rsidRPr="0041619F">
              <w:rPr>
                <w:rFonts w:ascii="Arial" w:eastAsia="Times New Roman" w:hAnsi="Arial" w:cs="Arial"/>
                <w:noProof/>
                <w:lang w:val="bg-BG"/>
              </w:rPr>
              <w:t>Fludeoxyglucose (18F)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9F" w:rsidRPr="0041619F" w:rsidRDefault="0041619F" w:rsidP="0041619F">
            <w:pPr>
              <w:rPr>
                <w:rFonts w:ascii="Arial" w:eastAsia="Times New Roman" w:hAnsi="Arial" w:cs="Arial"/>
                <w:noProof/>
                <w:lang w:val="bg-BG"/>
              </w:rPr>
            </w:pPr>
            <w:r w:rsidRPr="0041619F">
              <w:rPr>
                <w:rFonts w:ascii="Arial" w:eastAsia="Times New Roman" w:hAnsi="Arial" w:cs="Arial"/>
                <w:noProof/>
                <w:lang w:val="bg-BG"/>
              </w:rPr>
              <w:t>8.0 GBq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9F" w:rsidRPr="0041619F" w:rsidRDefault="0041619F" w:rsidP="0041619F">
            <w:pPr>
              <w:rPr>
                <w:rFonts w:ascii="Arial" w:eastAsia="Times New Roman" w:hAnsi="Arial" w:cs="Arial"/>
                <w:noProof/>
                <w:lang w:val="bg-BG"/>
              </w:rPr>
            </w:pPr>
            <w:r w:rsidRPr="0041619F">
              <w:rPr>
                <w:rFonts w:ascii="Arial" w:eastAsia="Times New Roman" w:hAnsi="Arial" w:cs="Arial"/>
                <w:noProof/>
                <w:lang w:val="bg-BG"/>
              </w:rPr>
              <w:t>многодозова опаковка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19F" w:rsidRPr="0041619F" w:rsidRDefault="0041619F" w:rsidP="0041619F">
            <w:pPr>
              <w:jc w:val="left"/>
              <w:rPr>
                <w:rFonts w:ascii="Arial" w:eastAsia="Times New Roman" w:hAnsi="Arial" w:cs="Arial"/>
                <w:noProof/>
                <w:lang w:val="bg-BG"/>
              </w:rPr>
            </w:pPr>
          </w:p>
        </w:tc>
      </w:tr>
      <w:tr w:rsidR="0041619F" w:rsidRPr="0041619F" w:rsidTr="00FD3BE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F" w:rsidRPr="0041619F" w:rsidRDefault="0041619F" w:rsidP="0041619F">
            <w:pPr>
              <w:rPr>
                <w:rFonts w:ascii="Arial" w:eastAsia="Times New Roman" w:hAnsi="Arial" w:cs="Arial"/>
                <w:noProof/>
                <w:lang w:val="bg-BG"/>
              </w:rPr>
            </w:pPr>
            <w:r w:rsidRPr="0041619F">
              <w:rPr>
                <w:rFonts w:ascii="Arial" w:eastAsia="Times New Roman" w:hAnsi="Arial" w:cs="Arial"/>
                <w:noProof/>
                <w:lang w:val="bg-BG"/>
              </w:rPr>
              <w:t>V09IX04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F" w:rsidRPr="0041619F" w:rsidRDefault="0041619F" w:rsidP="0041619F">
            <w:pPr>
              <w:rPr>
                <w:rFonts w:ascii="Arial" w:eastAsia="Times New Roman" w:hAnsi="Arial" w:cs="Arial"/>
                <w:noProof/>
                <w:lang w:val="bg-BG"/>
              </w:rPr>
            </w:pPr>
            <w:r w:rsidRPr="0041619F">
              <w:rPr>
                <w:rFonts w:ascii="Arial" w:eastAsia="Times New Roman" w:hAnsi="Arial" w:cs="Arial"/>
                <w:noProof/>
                <w:lang w:val="bg-BG"/>
              </w:rPr>
              <w:t>Fludeoxyglucose (18F)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F" w:rsidRPr="0041619F" w:rsidRDefault="0041619F" w:rsidP="0041619F">
            <w:pPr>
              <w:rPr>
                <w:rFonts w:ascii="Arial" w:eastAsia="Times New Roman" w:hAnsi="Arial" w:cs="Arial"/>
                <w:noProof/>
                <w:lang w:val="bg-BG"/>
              </w:rPr>
            </w:pPr>
            <w:r w:rsidRPr="0041619F">
              <w:rPr>
                <w:rFonts w:ascii="Arial" w:eastAsia="Times New Roman" w:hAnsi="Arial" w:cs="Arial"/>
                <w:noProof/>
                <w:lang w:val="bg-BG"/>
              </w:rPr>
              <w:t>10.0 GBq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F" w:rsidRPr="0041619F" w:rsidRDefault="0041619F" w:rsidP="0041619F">
            <w:pPr>
              <w:rPr>
                <w:rFonts w:ascii="Arial" w:eastAsia="Times New Roman" w:hAnsi="Arial" w:cs="Arial"/>
                <w:noProof/>
                <w:lang w:val="bg-BG"/>
              </w:rPr>
            </w:pPr>
            <w:r w:rsidRPr="0041619F">
              <w:rPr>
                <w:rFonts w:ascii="Arial" w:eastAsia="Times New Roman" w:hAnsi="Arial" w:cs="Arial"/>
                <w:noProof/>
                <w:lang w:val="bg-BG"/>
              </w:rPr>
              <w:t>многодозова опаковка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19F" w:rsidRPr="0041619F" w:rsidRDefault="0041619F" w:rsidP="0041619F">
            <w:pPr>
              <w:jc w:val="left"/>
              <w:rPr>
                <w:rFonts w:ascii="Arial" w:eastAsia="Times New Roman" w:hAnsi="Arial" w:cs="Arial"/>
                <w:noProof/>
                <w:lang w:val="bg-BG"/>
              </w:rPr>
            </w:pPr>
          </w:p>
        </w:tc>
      </w:tr>
      <w:tr w:rsidR="0041619F" w:rsidRPr="0041619F" w:rsidTr="00FD3BE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9F" w:rsidRPr="0041619F" w:rsidRDefault="0041619F" w:rsidP="0041619F">
            <w:pPr>
              <w:rPr>
                <w:rFonts w:ascii="Arial" w:eastAsia="Times New Roman" w:hAnsi="Arial" w:cs="Arial"/>
                <w:noProof/>
                <w:lang w:val="bg-BG"/>
              </w:rPr>
            </w:pPr>
            <w:r w:rsidRPr="0041619F">
              <w:rPr>
                <w:rFonts w:ascii="Arial" w:eastAsia="Times New Roman" w:hAnsi="Arial" w:cs="Arial"/>
                <w:noProof/>
                <w:lang w:val="bg-BG"/>
              </w:rPr>
              <w:t>V09IX04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9F" w:rsidRPr="0041619F" w:rsidRDefault="0041619F" w:rsidP="0041619F">
            <w:pPr>
              <w:rPr>
                <w:rFonts w:ascii="Arial" w:eastAsia="Times New Roman" w:hAnsi="Arial" w:cs="Arial"/>
                <w:noProof/>
                <w:lang w:val="bg-BG"/>
              </w:rPr>
            </w:pPr>
            <w:r w:rsidRPr="0041619F">
              <w:rPr>
                <w:rFonts w:ascii="Arial" w:eastAsia="Times New Roman" w:hAnsi="Arial" w:cs="Arial"/>
                <w:noProof/>
                <w:lang w:val="bg-BG"/>
              </w:rPr>
              <w:t>Fludeoxyglucose (18F)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9F" w:rsidRPr="0041619F" w:rsidRDefault="0041619F" w:rsidP="0041619F">
            <w:pPr>
              <w:rPr>
                <w:rFonts w:ascii="Arial" w:eastAsia="Times New Roman" w:hAnsi="Arial" w:cs="Arial"/>
                <w:noProof/>
                <w:lang w:val="bg-BG"/>
              </w:rPr>
            </w:pPr>
            <w:r w:rsidRPr="0041619F">
              <w:rPr>
                <w:rFonts w:ascii="Arial" w:eastAsia="Times New Roman" w:hAnsi="Arial" w:cs="Arial"/>
                <w:noProof/>
                <w:lang w:val="bg-BG"/>
              </w:rPr>
              <w:t>14.0 GBq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9F" w:rsidRPr="0041619F" w:rsidRDefault="0041619F" w:rsidP="0041619F">
            <w:pPr>
              <w:rPr>
                <w:rFonts w:ascii="Arial" w:eastAsia="Times New Roman" w:hAnsi="Arial" w:cs="Arial"/>
                <w:noProof/>
                <w:lang w:val="bg-BG"/>
              </w:rPr>
            </w:pPr>
            <w:r w:rsidRPr="0041619F">
              <w:rPr>
                <w:rFonts w:ascii="Arial" w:eastAsia="Times New Roman" w:hAnsi="Arial" w:cs="Arial"/>
                <w:noProof/>
                <w:lang w:val="bg-BG"/>
              </w:rPr>
              <w:t>многодозова опаковка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19F" w:rsidRPr="0041619F" w:rsidRDefault="0041619F" w:rsidP="0041619F">
            <w:pPr>
              <w:jc w:val="left"/>
              <w:rPr>
                <w:rFonts w:ascii="Arial" w:eastAsia="Times New Roman" w:hAnsi="Arial" w:cs="Arial"/>
                <w:noProof/>
                <w:lang w:val="bg-BG"/>
              </w:rPr>
            </w:pPr>
          </w:p>
        </w:tc>
      </w:tr>
      <w:tr w:rsidR="0041619F" w:rsidRPr="0041619F" w:rsidTr="00FD3BE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F" w:rsidRPr="0041619F" w:rsidRDefault="0041619F" w:rsidP="0041619F">
            <w:pPr>
              <w:rPr>
                <w:rFonts w:ascii="Arial" w:eastAsia="Times New Roman" w:hAnsi="Arial" w:cs="Arial"/>
                <w:noProof/>
                <w:lang w:val="bg-BG"/>
              </w:rPr>
            </w:pPr>
            <w:r w:rsidRPr="0041619F">
              <w:rPr>
                <w:rFonts w:ascii="Arial" w:eastAsia="Times New Roman" w:hAnsi="Arial" w:cs="Arial"/>
                <w:noProof/>
                <w:lang w:val="bg-BG"/>
              </w:rPr>
              <w:t>V09IX04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F" w:rsidRPr="0041619F" w:rsidRDefault="0041619F" w:rsidP="0041619F">
            <w:pPr>
              <w:rPr>
                <w:rFonts w:ascii="Arial" w:eastAsia="Times New Roman" w:hAnsi="Arial" w:cs="Arial"/>
                <w:noProof/>
                <w:lang w:val="bg-BG"/>
              </w:rPr>
            </w:pPr>
            <w:r w:rsidRPr="0041619F">
              <w:rPr>
                <w:rFonts w:ascii="Arial" w:eastAsia="Times New Roman" w:hAnsi="Arial" w:cs="Arial"/>
                <w:noProof/>
                <w:lang w:val="bg-BG"/>
              </w:rPr>
              <w:t>Fludeoxyglucose (18F)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F" w:rsidRPr="0041619F" w:rsidRDefault="002D0672" w:rsidP="0041619F">
            <w:pPr>
              <w:rPr>
                <w:rFonts w:ascii="Arial" w:eastAsia="Times New Roman" w:hAnsi="Arial" w:cs="Arial"/>
                <w:noProof/>
                <w:lang w:val="bg-BG"/>
              </w:rPr>
            </w:pPr>
            <w:r>
              <w:rPr>
                <w:rFonts w:ascii="Arial" w:eastAsia="Times New Roman" w:hAnsi="Arial" w:cs="Arial"/>
                <w:noProof/>
                <w:lang w:val="bg-BG"/>
              </w:rPr>
              <w:t>17</w:t>
            </w:r>
            <w:r w:rsidR="0041619F" w:rsidRPr="0041619F">
              <w:rPr>
                <w:rFonts w:ascii="Arial" w:eastAsia="Times New Roman" w:hAnsi="Arial" w:cs="Arial"/>
                <w:noProof/>
                <w:lang w:val="bg-BG"/>
              </w:rPr>
              <w:t>.0 GBq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9F" w:rsidRPr="0041619F" w:rsidRDefault="0041619F" w:rsidP="0041619F">
            <w:pPr>
              <w:rPr>
                <w:rFonts w:ascii="Arial" w:eastAsia="Times New Roman" w:hAnsi="Arial" w:cs="Arial"/>
                <w:noProof/>
                <w:lang w:val="bg-BG"/>
              </w:rPr>
            </w:pPr>
            <w:r w:rsidRPr="0041619F">
              <w:rPr>
                <w:rFonts w:ascii="Arial" w:eastAsia="Times New Roman" w:hAnsi="Arial" w:cs="Arial"/>
                <w:noProof/>
                <w:lang w:val="bg-BG"/>
              </w:rPr>
              <w:t>многодозова опаковка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19F" w:rsidRPr="0041619F" w:rsidRDefault="0041619F" w:rsidP="0041619F">
            <w:pPr>
              <w:jc w:val="left"/>
              <w:rPr>
                <w:rFonts w:ascii="Arial" w:eastAsia="Times New Roman" w:hAnsi="Arial" w:cs="Arial"/>
                <w:noProof/>
                <w:lang w:val="bg-BG"/>
              </w:rPr>
            </w:pPr>
          </w:p>
        </w:tc>
      </w:tr>
    </w:tbl>
    <w:p w:rsidR="002C6F12" w:rsidRDefault="002C6F12" w:rsidP="002C6F12">
      <w:pPr>
        <w:spacing w:before="360"/>
        <w:jc w:val="both"/>
        <w:rPr>
          <w:rFonts w:ascii="Arial" w:eastAsia="Times New Roman" w:hAnsi="Arial" w:cs="Arial"/>
          <w:bCs/>
          <w:iCs/>
          <w:noProof/>
          <w:lang w:val="bg-BG"/>
        </w:rPr>
      </w:pPr>
      <w:r>
        <w:rPr>
          <w:rFonts w:ascii="Arial" w:eastAsia="Times New Roman" w:hAnsi="Arial" w:cs="Arial"/>
          <w:b/>
          <w:bCs/>
          <w:iCs/>
          <w:noProof/>
          <w:lang w:val="bg-BG"/>
        </w:rPr>
        <w:t xml:space="preserve">4. </w:t>
      </w:r>
      <w:r w:rsidR="00967296">
        <w:rPr>
          <w:rFonts w:ascii="Arial" w:eastAsia="Times New Roman" w:hAnsi="Arial" w:cs="Arial"/>
          <w:bCs/>
          <w:iCs/>
          <w:noProof/>
          <w:lang w:val="bg-BG"/>
        </w:rPr>
        <w:t>Прог</w:t>
      </w:r>
      <w:r>
        <w:rPr>
          <w:rFonts w:ascii="Arial" w:eastAsia="Times New Roman" w:hAnsi="Arial" w:cs="Arial"/>
          <w:bCs/>
          <w:iCs/>
          <w:noProof/>
          <w:lang w:val="bg-BG"/>
        </w:rPr>
        <w:t>нозно количество за период</w:t>
      </w:r>
      <w:r w:rsidR="00871553">
        <w:rPr>
          <w:rFonts w:ascii="Arial" w:eastAsia="Times New Roman" w:hAnsi="Arial" w:cs="Arial"/>
          <w:bCs/>
          <w:iCs/>
          <w:noProof/>
          <w:lang w:val="bg-BG"/>
        </w:rPr>
        <w:t xml:space="preserve"> от 12 (дванадесет) месеца – 144 (сто четиридесет и четири</w:t>
      </w:r>
      <w:r>
        <w:rPr>
          <w:rFonts w:ascii="Arial" w:eastAsia="Times New Roman" w:hAnsi="Arial" w:cs="Arial"/>
          <w:bCs/>
          <w:iCs/>
          <w:noProof/>
          <w:lang w:val="bg-BG"/>
        </w:rPr>
        <w:t>) многодозови опаковки. Количествата са ориентировъчни, различни по активност, посочети в т. 3 и зависят от финансирането на дейността и броя записани пациенти.</w:t>
      </w:r>
    </w:p>
    <w:p w:rsidR="002C6F12" w:rsidRDefault="002C6F12" w:rsidP="002C6F12">
      <w:pPr>
        <w:spacing w:before="240"/>
        <w:jc w:val="both"/>
        <w:rPr>
          <w:rFonts w:ascii="Arial" w:eastAsia="Times New Roman" w:hAnsi="Arial" w:cs="Arial"/>
          <w:bCs/>
          <w:iCs/>
          <w:noProof/>
          <w:lang w:val="bg-BG"/>
        </w:rPr>
      </w:pPr>
      <w:r w:rsidRPr="002C6F12">
        <w:rPr>
          <w:rFonts w:ascii="Arial" w:eastAsia="Times New Roman" w:hAnsi="Arial" w:cs="Arial"/>
          <w:b/>
          <w:bCs/>
          <w:iCs/>
          <w:noProof/>
          <w:lang w:val="bg-BG"/>
        </w:rPr>
        <w:t xml:space="preserve">5. </w:t>
      </w:r>
      <w:r>
        <w:rPr>
          <w:rFonts w:ascii="Arial" w:eastAsia="Times New Roman" w:hAnsi="Arial" w:cs="Arial"/>
          <w:bCs/>
          <w:iCs/>
          <w:noProof/>
          <w:lang w:val="bg-BG"/>
        </w:rPr>
        <w:t xml:space="preserve">Времеви интервал за доставка – 8:00 – 8:30 часа, с възможност за </w:t>
      </w:r>
      <w:r w:rsidR="00E165ED">
        <w:rPr>
          <w:rFonts w:ascii="Arial" w:eastAsia="Times New Roman" w:hAnsi="Arial" w:cs="Arial"/>
          <w:bCs/>
          <w:iCs/>
          <w:noProof/>
          <w:lang w:val="bg-BG"/>
        </w:rPr>
        <w:t xml:space="preserve">страните </w:t>
      </w:r>
      <w:r w:rsidR="00E165ED" w:rsidRPr="0068516D">
        <w:rPr>
          <w:rFonts w:ascii="Arial" w:hAnsi="Arial" w:cs="Arial"/>
          <w:lang w:val="bg-BG"/>
        </w:rPr>
        <w:t>писмено да договорят и друг времеви интервал от деня</w:t>
      </w:r>
      <w:r>
        <w:rPr>
          <w:rFonts w:ascii="Arial" w:eastAsia="Times New Roman" w:hAnsi="Arial" w:cs="Arial"/>
          <w:bCs/>
          <w:iCs/>
          <w:noProof/>
          <w:lang w:val="bg-BG"/>
        </w:rPr>
        <w:t>.</w:t>
      </w:r>
    </w:p>
    <w:p w:rsidR="002C6F12" w:rsidRDefault="002C6F12" w:rsidP="002C6F12">
      <w:pPr>
        <w:spacing w:before="240"/>
        <w:jc w:val="both"/>
        <w:rPr>
          <w:rFonts w:ascii="Arial" w:eastAsia="Times New Roman" w:hAnsi="Arial" w:cs="Arial"/>
          <w:bCs/>
          <w:iCs/>
          <w:noProof/>
          <w:lang w:val="bg-BG"/>
        </w:rPr>
      </w:pPr>
      <w:r w:rsidRPr="002C6F12">
        <w:rPr>
          <w:rFonts w:ascii="Arial" w:eastAsia="Times New Roman" w:hAnsi="Arial" w:cs="Arial"/>
          <w:b/>
          <w:bCs/>
          <w:iCs/>
          <w:noProof/>
          <w:lang w:val="bg-BG"/>
        </w:rPr>
        <w:t>6.</w:t>
      </w:r>
      <w:r>
        <w:rPr>
          <w:rFonts w:ascii="Arial" w:eastAsia="Times New Roman" w:hAnsi="Arial" w:cs="Arial"/>
          <w:bCs/>
          <w:iCs/>
          <w:noProof/>
          <w:lang w:val="bg-BG"/>
        </w:rPr>
        <w:t xml:space="preserve"> Поръчаната обща активност да е изчислена към момента на доставката.</w:t>
      </w:r>
    </w:p>
    <w:p w:rsidR="002C6F12" w:rsidRPr="0041619F" w:rsidRDefault="002C6F12" w:rsidP="002C6F12">
      <w:pPr>
        <w:spacing w:before="240"/>
        <w:jc w:val="both"/>
        <w:rPr>
          <w:rFonts w:ascii="Arial" w:eastAsia="Times New Roman" w:hAnsi="Arial" w:cs="Arial"/>
          <w:bCs/>
          <w:iCs/>
          <w:noProof/>
          <w:lang w:val="bg-BG"/>
        </w:rPr>
      </w:pPr>
      <w:r>
        <w:rPr>
          <w:rFonts w:ascii="Arial" w:eastAsia="Times New Roman" w:hAnsi="Arial" w:cs="Arial"/>
          <w:b/>
          <w:bCs/>
          <w:iCs/>
          <w:noProof/>
          <w:lang w:val="bg-BG"/>
        </w:rPr>
        <w:t>7</w:t>
      </w:r>
      <w:r w:rsidR="0041619F" w:rsidRPr="0041619F">
        <w:rPr>
          <w:rFonts w:ascii="Arial" w:eastAsia="Times New Roman" w:hAnsi="Arial" w:cs="Arial"/>
          <w:b/>
          <w:bCs/>
          <w:iCs/>
          <w:noProof/>
          <w:lang w:val="bg-BG"/>
        </w:rPr>
        <w:t>.</w:t>
      </w:r>
      <w:r w:rsidR="0041619F" w:rsidRPr="0041619F">
        <w:rPr>
          <w:rFonts w:ascii="Arial" w:eastAsia="Times New Roman" w:hAnsi="Arial" w:cs="Arial"/>
          <w:bCs/>
          <w:iCs/>
          <w:noProof/>
          <w:lang w:val="bg-BG"/>
        </w:rPr>
        <w:t xml:space="preserve"> Осигуряване на защитни преносими контейнери, съответстващи на техническите параметри за локализиране на активността в клиничния диспенсър </w:t>
      </w:r>
      <w:r w:rsidR="0041619F" w:rsidRPr="0041619F">
        <w:rPr>
          <w:rFonts w:ascii="Arial" w:eastAsia="Times New Roman" w:hAnsi="Arial" w:cs="Arial"/>
          <w:bCs/>
          <w:iCs/>
          <w:noProof/>
        </w:rPr>
        <w:t xml:space="preserve">IRIS – Comecer, </w:t>
      </w:r>
      <w:r w:rsidR="0041619F" w:rsidRPr="0041619F">
        <w:rPr>
          <w:rFonts w:ascii="Arial" w:eastAsia="Times New Roman" w:hAnsi="Arial" w:cs="Arial"/>
          <w:bCs/>
          <w:iCs/>
          <w:noProof/>
          <w:lang w:val="bg-BG"/>
        </w:rPr>
        <w:t>Италия.</w:t>
      </w:r>
      <w:bookmarkStart w:id="0" w:name="_GoBack"/>
      <w:bookmarkEnd w:id="0"/>
    </w:p>
    <w:sectPr w:rsidR="002C6F12" w:rsidRPr="0041619F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E3" w:rsidRDefault="002775E3" w:rsidP="00DD2D95">
      <w:pPr>
        <w:spacing w:line="240" w:lineRule="auto"/>
      </w:pPr>
      <w:r>
        <w:separator/>
      </w:r>
    </w:p>
  </w:endnote>
  <w:endnote w:type="continuationSeparator" w:id="0">
    <w:p w:rsidR="002775E3" w:rsidRDefault="002775E3" w:rsidP="00DD2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E3" w:rsidRDefault="002775E3" w:rsidP="00DD2D95">
      <w:pPr>
        <w:spacing w:line="240" w:lineRule="auto"/>
      </w:pPr>
      <w:r>
        <w:separator/>
      </w:r>
    </w:p>
  </w:footnote>
  <w:footnote w:type="continuationSeparator" w:id="0">
    <w:p w:rsidR="002775E3" w:rsidRDefault="002775E3" w:rsidP="00DD2D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95" w:rsidRPr="00DD2D95" w:rsidRDefault="00DD2D95" w:rsidP="00DD2D95">
    <w:pPr>
      <w:pStyle w:val="Header"/>
      <w:jc w:val="right"/>
      <w:rPr>
        <w:rFonts w:ascii="Arial" w:hAnsi="Arial" w:cs="Arial"/>
        <w:b/>
        <w:i/>
      </w:rPr>
    </w:pPr>
    <w:r w:rsidRPr="00DD2D95">
      <w:rPr>
        <w:rFonts w:ascii="Arial" w:hAnsi="Arial" w:cs="Arial"/>
        <w:b/>
        <w:i/>
        <w:lang w:val="bg-BG"/>
      </w:rPr>
      <w:t>Приложение № 1</w:t>
    </w:r>
  </w:p>
  <w:p w:rsidR="00DD2D95" w:rsidRDefault="00DD2D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9F"/>
    <w:rsid w:val="000E3539"/>
    <w:rsid w:val="00177136"/>
    <w:rsid w:val="002775E3"/>
    <w:rsid w:val="002C6F12"/>
    <w:rsid w:val="002D0672"/>
    <w:rsid w:val="0041619F"/>
    <w:rsid w:val="00451B43"/>
    <w:rsid w:val="00871553"/>
    <w:rsid w:val="00967296"/>
    <w:rsid w:val="009A20DE"/>
    <w:rsid w:val="009D704A"/>
    <w:rsid w:val="00B31BFA"/>
    <w:rsid w:val="00C720F9"/>
    <w:rsid w:val="00D94D61"/>
    <w:rsid w:val="00DC49FA"/>
    <w:rsid w:val="00DD2D95"/>
    <w:rsid w:val="00E165ED"/>
    <w:rsid w:val="00E50F0B"/>
    <w:rsid w:val="00F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4A7F"/>
  <w15:chartTrackingRefBased/>
  <w15:docId w15:val="{E8986649-3B0A-4AFE-94A6-83BB9A2D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19F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D95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95"/>
  </w:style>
  <w:style w:type="paragraph" w:styleId="Footer">
    <w:name w:val="footer"/>
    <w:basedOn w:val="Normal"/>
    <w:link w:val="FooterChar"/>
    <w:uiPriority w:val="99"/>
    <w:unhideWhenUsed/>
    <w:rsid w:val="00DD2D95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11</cp:revision>
  <dcterms:created xsi:type="dcterms:W3CDTF">2019-12-19T07:20:00Z</dcterms:created>
  <dcterms:modified xsi:type="dcterms:W3CDTF">2020-01-08T08:18:00Z</dcterms:modified>
</cp:coreProperties>
</file>